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368B" w14:textId="77777777" w:rsidR="002155D0" w:rsidRDefault="002F27DE">
      <w:pPr>
        <w:pStyle w:val="aff1"/>
        <w:spacing w:after="0"/>
        <w:ind w:left="567" w:right="56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Рекомендации по описанию целевого состояния  </w:t>
      </w:r>
      <w:r>
        <w:rPr>
          <w:rFonts w:asciiTheme="minorHAnsi" w:hAnsiTheme="minorHAnsi" w:cstheme="minorHAnsi"/>
          <w:sz w:val="24"/>
          <w:szCs w:val="24"/>
        </w:rPr>
        <w:br/>
        <w:t>к государственным информационным системам (компонентам государственных информационных систем) или иным сервисам, создаваемым и (или развиваемым) с использованием единой цифровой платформы Российской Федерации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ГосТех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» </w:t>
      </w:r>
    </w:p>
    <w:p w14:paraId="4CA95BD8" w14:textId="77777777" w:rsidR="002155D0" w:rsidRDefault="002F27DE">
      <w:pPr>
        <w:pStyle w:val="2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Общие положения</w:t>
      </w:r>
    </w:p>
    <w:p w14:paraId="18355625" w14:textId="3940F61C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Целью разработки описания целевого состояния является оптимизация процессов разработки (развития) и тестирования реализуемых на единой цифровой платформе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Российской Федерации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ГосТех</w:t>
      </w:r>
      <w:proofErr w:type="spellEnd"/>
      <w:r>
        <w:rPr>
          <w:rFonts w:asciiTheme="minorHAnsi" w:hAnsiTheme="minorHAnsi" w:cstheme="minorHAnsi"/>
          <w:sz w:val="24"/>
          <w:szCs w:val="24"/>
        </w:rPr>
        <w:t>» (далее – платформа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ГосТех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») решений за счет формирования технических требований, определения длительности и оценки необходимых объемов работ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на основании сформулированного органами государственной власти (далее – ОГВ) описания целевого</w:t>
      </w:r>
      <w:r w:rsidR="00B72C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состояния государственных информационных систем (их компонентов) или иных сервисов, обеспечивающих цифровую трансформацию/автоматизацию </w:t>
      </w:r>
      <w:r w:rsidR="002D6388">
        <w:rPr>
          <w:rFonts w:asciiTheme="minorHAnsi" w:hAnsiTheme="minorHAnsi" w:cstheme="minorHAnsi"/>
          <w:sz w:val="24"/>
          <w:szCs w:val="24"/>
        </w:rPr>
        <w:t>их</w:t>
      </w:r>
      <w:r>
        <w:rPr>
          <w:rFonts w:asciiTheme="minorHAnsi" w:hAnsiTheme="minorHAnsi" w:cstheme="minorHAnsi"/>
          <w:sz w:val="24"/>
          <w:szCs w:val="24"/>
        </w:rPr>
        <w:t xml:space="preserve"> функций, задач и полномочий.</w:t>
      </w:r>
    </w:p>
    <w:p w14:paraId="513699C4" w14:textId="4495E0E4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Описание целевого состояния – документ, содержащий однозначно понимаемое, имеющее унифицированную структуру описание целевого состояния государственных информационных систем (их компонентов) или иных сервисов с учетом цифровой трансформации области деятельности ОГВ, включающее перечень функций, задач и полномочий ОГВ,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подлежащих трансформации, пользовательские сценарии получения услуг, а также качественные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и количественные характеристики основных ожидаемых (планируемых) конечных результатов. </w:t>
      </w:r>
    </w:p>
    <w:p w14:paraId="36B5C341" w14:textId="4BF35612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Описание </w:t>
      </w:r>
      <w:r w:rsidR="00C73F34">
        <w:rPr>
          <w:rFonts w:asciiTheme="minorHAnsi" w:hAnsiTheme="minorHAnsi" w:cstheme="minorHAnsi"/>
          <w:sz w:val="24"/>
          <w:szCs w:val="24"/>
        </w:rPr>
        <w:t>целевого состояния</w:t>
      </w:r>
      <w:r>
        <w:rPr>
          <w:rFonts w:asciiTheme="minorHAnsi" w:hAnsiTheme="minorHAnsi" w:cstheme="minorHAnsi"/>
          <w:sz w:val="24"/>
          <w:szCs w:val="24"/>
        </w:rPr>
        <w:t xml:space="preserve"> государственных информационных систем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(их компонентов) или иных сервисов должно соответствовать следующим подходам и принципам:</w:t>
      </w:r>
    </w:p>
    <w:p w14:paraId="7610604A" w14:textId="77777777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ориентация на потребности и интересы граждан и организаций (</w:t>
      </w:r>
      <w:proofErr w:type="spellStart"/>
      <w:r>
        <w:rPr>
          <w:rFonts w:asciiTheme="minorHAnsi" w:hAnsiTheme="minorHAnsi" w:cstheme="minorHAnsi"/>
          <w:sz w:val="24"/>
          <w:szCs w:val="24"/>
        </w:rPr>
        <w:t>клиентоцентричность</w:t>
      </w:r>
      <w:proofErr w:type="spellEnd"/>
      <w:r>
        <w:rPr>
          <w:rFonts w:asciiTheme="minorHAnsi" w:hAnsiTheme="minorHAnsi" w:cstheme="minorHAnsi"/>
          <w:sz w:val="24"/>
          <w:szCs w:val="24"/>
        </w:rPr>
        <w:t>);</w:t>
      </w:r>
    </w:p>
    <w:p w14:paraId="6D4AE241" w14:textId="77777777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переход на предоставление услуг (реализацию функций/задач), объединенных в клиентские сценарии и жизненные ситуации;</w:t>
      </w:r>
    </w:p>
    <w:p w14:paraId="6CD6BCB0" w14:textId="313EFF3F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оптимизация реализации государственных услуг (функций/задач), в частности, обеспечение: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проактивных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уведомлений, непрерывного режима обращений, электронного взаимодействия </w:t>
      </w:r>
      <w:r w:rsidR="002D638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с заявителем и предоставления результата, сокращение сроков, использование единого портала (ЕПГУ);</w:t>
      </w:r>
    </w:p>
    <w:p w14:paraId="0511AD7E" w14:textId="3597A748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однозначность, полнота</w:t>
      </w:r>
      <w:r w:rsidR="000702D6">
        <w:rPr>
          <w:rFonts w:asciiTheme="minorHAnsi" w:hAnsiTheme="minorHAnsi" w:cstheme="minorHAnsi"/>
          <w:sz w:val="24"/>
          <w:szCs w:val="24"/>
        </w:rPr>
        <w:t>, достижимость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2397080" w14:textId="7453D9A8" w:rsidR="002155D0" w:rsidRDefault="002F27DE">
      <w:pPr>
        <w:pStyle w:val="afff7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совместное проектирование государственных информационных систем (их компонентов) или иных сервисов на платформе 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ГосТех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»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функциональным и техническим заказчиком с учетом принципов масштабирования и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переиспользования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разработанных решений, использования базовых сервисов </w:t>
      </w:r>
      <w:r w:rsidR="002D6388">
        <w:rPr>
          <w:rFonts w:asciiTheme="minorHAnsi" w:hAnsiTheme="minorHAnsi" w:cstheme="minorHAnsi"/>
          <w:sz w:val="24"/>
          <w:szCs w:val="24"/>
        </w:rPr>
        <w:t xml:space="preserve">платформы </w:t>
      </w:r>
      <w:r>
        <w:rPr>
          <w:rFonts w:asciiTheme="minorHAnsi" w:hAnsiTheme="minorHAnsi" w:cstheme="minorHAnsi"/>
          <w:sz w:val="24"/>
          <w:szCs w:val="24"/>
        </w:rPr>
        <w:t>«</w:t>
      </w:r>
      <w:proofErr w:type="spellStart"/>
      <w:r>
        <w:rPr>
          <w:rFonts w:asciiTheme="minorHAnsi" w:hAnsiTheme="minorHAnsi" w:cstheme="minorHAnsi"/>
          <w:sz w:val="24"/>
          <w:szCs w:val="24"/>
        </w:rPr>
        <w:t>ГосТех</w:t>
      </w:r>
      <w:proofErr w:type="spellEnd"/>
      <w:r>
        <w:rPr>
          <w:rFonts w:asciiTheme="minorHAnsi" w:hAnsiTheme="minorHAnsi" w:cstheme="minorHAnsi"/>
          <w:sz w:val="24"/>
          <w:szCs w:val="24"/>
        </w:rPr>
        <w:t>», совместного и оптимального использования ИТ-инфраструктуры.</w:t>
      </w:r>
    </w:p>
    <w:p w14:paraId="409D9B0B" w14:textId="77777777" w:rsidR="002155D0" w:rsidRDefault="002F27DE">
      <w:pPr>
        <w:spacing w:before="0" w:after="200" w:line="276" w:lineRule="auto"/>
        <w:ind w:firstLine="0"/>
        <w:jc w:val="left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br w:type="page" w:clear="all"/>
      </w:r>
    </w:p>
    <w:p w14:paraId="7951C5D7" w14:textId="77777777" w:rsidR="002155D0" w:rsidRDefault="002F27DE">
      <w:pPr>
        <w:pStyle w:val="2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Рекомендуемая форма и структура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01"/>
        <w:gridCol w:w="6694"/>
      </w:tblGrid>
      <w:tr w:rsidR="002155D0" w14:paraId="4B6C4E2B" w14:textId="77777777">
        <w:trPr>
          <w:trHeight w:val="567"/>
        </w:trPr>
        <w:tc>
          <w:tcPr>
            <w:tcW w:w="10195" w:type="dxa"/>
            <w:gridSpan w:val="2"/>
            <w:vAlign w:val="center"/>
          </w:tcPr>
          <w:p w14:paraId="511FC8EF" w14:textId="77777777" w:rsidR="002155D0" w:rsidRDefault="002F27DE" w:rsidP="002F27DE">
            <w:pPr>
              <w:pStyle w:val="aff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Общие положения</w:t>
            </w:r>
          </w:p>
        </w:tc>
      </w:tr>
      <w:tr w:rsidR="002155D0" w14:paraId="441ADCC1" w14:textId="77777777">
        <w:tc>
          <w:tcPr>
            <w:tcW w:w="3501" w:type="dxa"/>
          </w:tcPr>
          <w:p w14:paraId="14FF9D31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 Сведения о функциональном заказчике </w:t>
            </w:r>
          </w:p>
        </w:tc>
        <w:tc>
          <w:tcPr>
            <w:tcW w:w="6694" w:type="dxa"/>
          </w:tcPr>
          <w:p w14:paraId="2D3E24E9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наименование ОГВ, являющегося функциональным заказчиком работ</w:t>
            </w:r>
          </w:p>
        </w:tc>
      </w:tr>
      <w:tr w:rsidR="002155D0" w14:paraId="1E063195" w14:textId="77777777">
        <w:tc>
          <w:tcPr>
            <w:tcW w:w="3501" w:type="dxa"/>
          </w:tcPr>
          <w:p w14:paraId="5593B759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 Наименование проекта </w:t>
            </w:r>
          </w:p>
        </w:tc>
        <w:tc>
          <w:tcPr>
            <w:tcW w:w="6694" w:type="dxa"/>
          </w:tcPr>
          <w:p w14:paraId="1EEDA601" w14:textId="47CEF37C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наименование проекта, запланированного для реализации на платформе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ГосТех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аименование указывается в соответствии приложением № 1 к протоколу стратегической сессии по 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 xml:space="preserve">платформе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ГосТех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 под председательством Председателя Правительства М.В.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Мишустина от 10 мая 2023 г. 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>№ 2</w:t>
            </w:r>
          </w:p>
        </w:tc>
      </w:tr>
      <w:tr w:rsidR="002155D0" w14:paraId="0BA71EC7" w14:textId="77777777">
        <w:tc>
          <w:tcPr>
            <w:tcW w:w="3501" w:type="dxa"/>
          </w:tcPr>
          <w:p w14:paraId="6EA8E3F6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1.3. Полное и краткое наименование системы </w:t>
            </w:r>
          </w:p>
        </w:tc>
        <w:tc>
          <w:tcPr>
            <w:tcW w:w="6694" w:type="dxa"/>
          </w:tcPr>
          <w:p w14:paraId="603E5578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существующих ГИС указывается название, соответствующее сведениям федеральной государственной информационной системы координации информатизации.</w:t>
            </w:r>
          </w:p>
          <w:p w14:paraId="5261B53C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вновь создаваемых ГИС наименование должно включать в себя формулировку назначения или сферу применения создаваемой (развиваемой) ГИС.</w:t>
            </w:r>
          </w:p>
          <w:p w14:paraId="09729412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 этом наименование ГИС должно быть уникально и не совпадать с наименованиями других ГИС.</w:t>
            </w:r>
          </w:p>
        </w:tc>
      </w:tr>
      <w:tr w:rsidR="002155D0" w14:paraId="10C596BF" w14:textId="77777777">
        <w:tc>
          <w:tcPr>
            <w:tcW w:w="3501" w:type="dxa"/>
          </w:tcPr>
          <w:p w14:paraId="25548087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 Наличие полномочий для реализации</w:t>
            </w:r>
          </w:p>
        </w:tc>
        <w:tc>
          <w:tcPr>
            <w:tcW w:w="6694" w:type="dxa"/>
          </w:tcPr>
          <w:p w14:paraId="35D3726A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полномочие по выполнению государственных функций /государственных услуг/ услуг по осуществлению государственного контроля (надзора) и муниципального контроля, подлежащее автоматизации и/или цифровой трансформации.</w:t>
            </w:r>
          </w:p>
          <w:p w14:paraId="0BD92F44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Нормативные основания для реализации (указать НПА или проект изменений; поручения, включение в документы стратегического планирования).</w:t>
            </w:r>
          </w:p>
          <w:p w14:paraId="25F7069E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Основание для реализации работ на платформе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ГосТех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</w:tc>
      </w:tr>
      <w:tr w:rsidR="002155D0" w14:paraId="0F6E8946" w14:textId="77777777">
        <w:trPr>
          <w:trHeight w:val="567"/>
        </w:trPr>
        <w:tc>
          <w:tcPr>
            <w:tcW w:w="10195" w:type="dxa"/>
            <w:gridSpan w:val="2"/>
            <w:vAlign w:val="center"/>
          </w:tcPr>
          <w:p w14:paraId="0734CB79" w14:textId="77777777" w:rsidR="002155D0" w:rsidRDefault="002F27DE" w:rsidP="002F27DE">
            <w:pPr>
              <w:pStyle w:val="aff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cstheme="minorHAnsi"/>
                <w:b/>
                <w:bCs/>
                <w:spacing w:val="2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Образ результата</w:t>
            </w:r>
          </w:p>
        </w:tc>
      </w:tr>
      <w:tr w:rsidR="002155D0" w14:paraId="0C30F5F9" w14:textId="77777777">
        <w:tc>
          <w:tcPr>
            <w:tcW w:w="3501" w:type="dxa"/>
          </w:tcPr>
          <w:p w14:paraId="1E94EB45" w14:textId="77777777" w:rsidR="002155D0" w:rsidRDefault="002F27DE">
            <w:pPr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2.1. Образ результата</w:t>
            </w:r>
          </w:p>
        </w:tc>
        <w:tc>
          <w:tcPr>
            <w:tcW w:w="6694" w:type="dxa"/>
          </w:tcPr>
          <w:p w14:paraId="52126951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Рекомендуется указать цели и описание ожидаемого результата проведения цифровой трансформации. </w:t>
            </w:r>
          </w:p>
          <w:p w14:paraId="275F2B8F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Цели определяются как конечные результаты решения проблем (проблемных вопросов) и указываются в виде качественных и количественных характеристик основных ожидаемых (планируемых) конечных результатов (изменений), отражающих положительный эффект.</w:t>
            </w:r>
          </w:p>
          <w:p w14:paraId="0916CC58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Цели должны соответствовать направлениям деятельности ОГВ в рамках осуществляемых ими полномочий.</w:t>
            </w:r>
          </w:p>
          <w:p w14:paraId="4AA9F2B5" w14:textId="3C8A4EE4" w:rsidR="002155D0" w:rsidRDefault="002F27DE" w:rsidP="008461F0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Рекомендуется учитывать требования достижения целевого состояния, перечисленные в Приложения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№ 1-2 к </w:t>
            </w:r>
            <w:r w:rsidR="002D638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етодическим рекомендациям по формированию целевых состояний государственных и муниципальных услуг, утвержденных </w:t>
            </w:r>
            <w:r w:rsidR="008461F0">
              <w:rPr>
                <w:rFonts w:asciiTheme="minorHAnsi" w:hAnsiTheme="minorHAnsi" w:cstheme="minorHAnsi"/>
                <w:sz w:val="20"/>
                <w:szCs w:val="20"/>
              </w:rPr>
              <w:t xml:space="preserve">Правительственной комиссией </w:t>
            </w:r>
            <w:r w:rsidR="008461F0" w:rsidRPr="008461F0">
              <w:rPr>
                <w:rFonts w:asciiTheme="minorHAnsi" w:hAnsiTheme="minorHAnsi" w:cstheme="minorHAnsi"/>
                <w:sz w:val="20"/>
                <w:szCs w:val="20"/>
              </w:rPr>
              <w:t>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      </w:r>
            <w:r w:rsidR="008461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5 октября 2022 г. № ЕК-П10-356пр.</w:t>
            </w:r>
          </w:p>
          <w:p w14:paraId="74D0E012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Рекомендуется приводить ссылку на цифровой административный регламент при наличии.</w:t>
            </w:r>
          </w:p>
        </w:tc>
      </w:tr>
      <w:tr w:rsidR="002155D0" w14:paraId="18F13212" w14:textId="77777777">
        <w:trPr>
          <w:trHeight w:val="230"/>
        </w:trPr>
        <w:tc>
          <w:tcPr>
            <w:tcW w:w="3501" w:type="dxa"/>
          </w:tcPr>
          <w:p w14:paraId="4D59066E" w14:textId="77777777" w:rsidR="002155D0" w:rsidRDefault="002F27DE">
            <w:pPr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2.2. Измеримые критерии результата</w:t>
            </w:r>
          </w:p>
        </w:tc>
        <w:tc>
          <w:tcPr>
            <w:tcW w:w="6694" w:type="dxa"/>
          </w:tcPr>
          <w:p w14:paraId="6B5893E8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Целесообразно выделять группы показателей, отражающих различные аспекты влияния на результаты функционирования ОГВ:</w:t>
            </w:r>
          </w:p>
          <w:p w14:paraId="402F2557" w14:textId="77777777" w:rsidR="002155D0" w:rsidRDefault="002F27DE" w:rsidP="0001495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  <w:jc w:val="left"/>
            </w:pPr>
            <w:r>
              <w:rPr>
                <w:rFonts w:eastAsia="Times New Roman"/>
                <w:color w:val="000000"/>
                <w:sz w:val="20"/>
              </w:rPr>
              <w:t>– показатели степени трансформации и/или цифровой трансформации процессов ОГВ по предоставлению государственных функций /государственных услуг/ услуг по осуществлению государственного контроля (надзора) и муниципального контроля и их значений, которые должны быть достигнуты в результате создания (развития) Системы, а также критерии оценки достижения целей создания (развития) Системы;</w:t>
            </w:r>
          </w:p>
          <w:p w14:paraId="6BB85065" w14:textId="4B6BC63F" w:rsidR="002155D0" w:rsidRDefault="006532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– показатели социального развития, отражающие социальные значимые эффекты внедрения цифровых технологий в ОГВ;</w:t>
            </w:r>
          </w:p>
        </w:tc>
      </w:tr>
      <w:tr w:rsidR="002155D0" w14:paraId="478345C6" w14:textId="77777777">
        <w:tc>
          <w:tcPr>
            <w:tcW w:w="3501" w:type="dxa"/>
          </w:tcPr>
          <w:p w14:paraId="781AAE48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2.3.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Потребители Сервиса</w:t>
            </w:r>
          </w:p>
        </w:tc>
        <w:tc>
          <w:tcPr>
            <w:tcW w:w="6694" w:type="dxa"/>
          </w:tcPr>
          <w:p w14:paraId="329D06E1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Определяются категории заинтересованных сторон, основными из которых являются:</w:t>
            </w:r>
          </w:p>
          <w:p w14:paraId="4D1DAFFE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а) получатели государственных услуг;</w:t>
            </w:r>
          </w:p>
          <w:p w14:paraId="06F57D57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lastRenderedPageBreak/>
              <w:t>б) субъекты предпринимательской деятельности в рамках контрольно-надзорной деятельности; </w:t>
            </w:r>
          </w:p>
          <w:p w14:paraId="12D632D2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в) ОГВ и юридические лица, влияние на деятельность которых оказывает создание Системы; </w:t>
            </w:r>
          </w:p>
          <w:p w14:paraId="3E686F51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0"/>
            </w:pPr>
            <w:r>
              <w:rPr>
                <w:rFonts w:eastAsia="Times New Roman"/>
                <w:color w:val="000000"/>
                <w:sz w:val="20"/>
              </w:rPr>
              <w:t>г) перечень ОГВ, являющихся участниками Системы. </w:t>
            </w:r>
          </w:p>
        </w:tc>
      </w:tr>
      <w:tr w:rsidR="002155D0" w14:paraId="5CC3108A" w14:textId="77777777">
        <w:tc>
          <w:tcPr>
            <w:tcW w:w="3501" w:type="dxa"/>
          </w:tcPr>
          <w:p w14:paraId="1218A47C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2.4. Сценарии для пользователей</w:t>
            </w:r>
          </w:p>
        </w:tc>
        <w:tc>
          <w:tcPr>
            <w:tcW w:w="6694" w:type="dxa"/>
          </w:tcPr>
          <w:p w14:paraId="566ADD92" w14:textId="700D31B8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Описание возможных сценариев взаимодействия, пользовательских маршрутов (клиентских путей) для каждой группы пользователей.</w:t>
            </w:r>
          </w:p>
        </w:tc>
      </w:tr>
      <w:tr w:rsidR="002155D0" w14:paraId="3B2A9D0F" w14:textId="77777777">
        <w:trPr>
          <w:trHeight w:val="567"/>
        </w:trPr>
        <w:tc>
          <w:tcPr>
            <w:tcW w:w="10195" w:type="dxa"/>
            <w:gridSpan w:val="2"/>
            <w:vAlign w:val="center"/>
          </w:tcPr>
          <w:p w14:paraId="425E6A8E" w14:textId="77777777" w:rsidR="002155D0" w:rsidRDefault="002F27DE" w:rsidP="002F27DE">
            <w:pPr>
              <w:pStyle w:val="aff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Перечень функций и требования к ним </w:t>
            </w:r>
          </w:p>
        </w:tc>
      </w:tr>
      <w:tr w:rsidR="002155D0" w14:paraId="042FF37F" w14:textId="77777777">
        <w:tc>
          <w:tcPr>
            <w:tcW w:w="3501" w:type="dxa"/>
          </w:tcPr>
          <w:p w14:paraId="6CD80943" w14:textId="77777777" w:rsidR="002155D0" w:rsidRDefault="002F27DE">
            <w:pPr>
              <w:spacing w:before="0" w:after="0"/>
              <w:ind w:firstLine="0"/>
              <w:jc w:val="left"/>
              <w:rPr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3.1. Архитектурное представление</w:t>
            </w:r>
          </w:p>
        </w:tc>
        <w:tc>
          <w:tcPr>
            <w:tcW w:w="6694" w:type="dxa"/>
          </w:tcPr>
          <w:p w14:paraId="36E82DC0" w14:textId="77777777" w:rsidR="002155D0" w:rsidRDefault="002F27DE">
            <w:pPr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Указывается в виде схемы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верхнеуровневая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архитектура, отражающая взаимосвязи компонентов, сервисов, функций.</w:t>
            </w:r>
          </w:p>
        </w:tc>
      </w:tr>
      <w:tr w:rsidR="002155D0" w14:paraId="7F81F817" w14:textId="77777777">
        <w:tc>
          <w:tcPr>
            <w:tcW w:w="3501" w:type="dxa"/>
          </w:tcPr>
          <w:p w14:paraId="3E9D1352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3.2. Набор базовых функций</w:t>
            </w:r>
          </w:p>
        </w:tc>
        <w:tc>
          <w:tcPr>
            <w:tcW w:w="6694" w:type="dxa"/>
          </w:tcPr>
          <w:p w14:paraId="2AFB15DE" w14:textId="77777777" w:rsidR="002155D0" w:rsidRDefault="002F27DE">
            <w:pPr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Указываются базовые функции реализации государственных услуг и функций:</w:t>
            </w:r>
          </w:p>
          <w:p w14:paraId="7D82C0C2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прием заявлений на получение государственных и муниципальных услуг от заявителей;</w:t>
            </w:r>
          </w:p>
          <w:p w14:paraId="1C29CDE3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предоставление заявителям государственных и муниципальных услуг в электронной форме на основании заявлений по настроенному процессу, в том числе в автоматическом режиме и в том числе во взаимодействии со сторонними информационными системами через СМЭВ;</w:t>
            </w:r>
          </w:p>
          <w:p w14:paraId="0ACC373D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исполнение государственных (муниципальных) функций, связанных с предоставлением государственных (муниципальных) услуг;</w:t>
            </w:r>
          </w:p>
          <w:p w14:paraId="576FD45C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регистрация, учет и хранение поступающих данных и документов;</w:t>
            </w:r>
          </w:p>
          <w:p w14:paraId="7832A5E9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осуществление межведомственного взаимодействия в рамках предоставления государственных и муниципальных услуг, в том числе в автоматическом режиме;</w:t>
            </w:r>
          </w:p>
          <w:p w14:paraId="4A13C957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выставление начислений за предоставление услуг и получение статусов платежей в соответствии с законодательством Российской Федерации;</w:t>
            </w:r>
          </w:p>
          <w:p w14:paraId="741FE572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предоставление заявителям сведений о ходе рассмотрения заявлений на получение услуг;</w:t>
            </w:r>
          </w:p>
          <w:p w14:paraId="06B23443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принятие решения в соответствии с типизированными критериями;</w:t>
            </w:r>
          </w:p>
          <w:p w14:paraId="7D8BACE7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предоставление заявителям результатов предоставления услуг в ЕЛК ЕПГУ;</w:t>
            </w:r>
          </w:p>
          <w:p w14:paraId="72750D74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ведение реестров результатов предоставления услуг, в том числе при необходимости передача данных из реестров во внешние системы;</w:t>
            </w:r>
          </w:p>
          <w:p w14:paraId="0F921EF1" w14:textId="77777777" w:rsidR="002155D0" w:rsidRDefault="002F27DE" w:rsidP="002F27DE">
            <w:pPr>
              <w:pStyle w:val="aff"/>
              <w:numPr>
                <w:ilvl w:val="0"/>
                <w:numId w:val="6"/>
              </w:numPr>
              <w:spacing w:after="0" w:line="240" w:lineRule="auto"/>
              <w:ind w:left="147" w:hanging="1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контроль сроков предоставления услуг.</w:t>
            </w:r>
          </w:p>
          <w:p w14:paraId="73B9CA81" w14:textId="77777777" w:rsidR="002155D0" w:rsidRDefault="002F27DE">
            <w:pPr>
              <w:spacing w:after="0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Госуслуги ФОИВ</w:t>
            </w:r>
          </w:p>
          <w:p w14:paraId="399AB797" w14:textId="77777777" w:rsidR="002155D0" w:rsidRDefault="002F27DE">
            <w:pPr>
              <w:spacing w:after="0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Внутренние функции</w:t>
            </w:r>
          </w:p>
        </w:tc>
      </w:tr>
      <w:tr w:rsidR="002155D0" w14:paraId="4120EDE6" w14:textId="77777777">
        <w:tc>
          <w:tcPr>
            <w:tcW w:w="3501" w:type="dxa"/>
          </w:tcPr>
          <w:p w14:paraId="38177B33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3.3. Набор базовых сервисов ЕЦП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ГосТех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694" w:type="dxa"/>
          </w:tcPr>
          <w:p w14:paraId="77DE1C48" w14:textId="4539497E" w:rsidR="002155D0" w:rsidRDefault="002F27DE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Указывается перечень базовых сервисов, запланированных к использованию, описание их назначения, функций и характеристик в соответствии «Базовые сервисы единой цифровой платформы Российской Федерации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Гостех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»: </w:t>
            </w:r>
          </w:p>
          <w:p w14:paraId="1EEFDE4F" w14:textId="77777777" w:rsidR="002155D0" w:rsidRDefault="002F27DE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Прикладные сервисы:</w:t>
            </w:r>
          </w:p>
          <w:p w14:paraId="733042C1" w14:textId="7777777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платформа государственных сервисов (конструктор услуг и функций) - 2023</w:t>
            </w:r>
          </w:p>
          <w:p w14:paraId="1D7DDFF3" w14:textId="2F9E8FD8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Витрина данных -</w:t>
            </w:r>
            <w:r w:rsidR="00E72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  <w:p w14:paraId="01052E3F" w14:textId="2611CD3E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ГосВеб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E72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  <w:p w14:paraId="3ECBC682" w14:textId="701F1397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Робот Макс -</w:t>
            </w:r>
            <w:r w:rsidR="00E725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  <w:p w14:paraId="2A8B35BB" w14:textId="3ED0F208" w:rsidR="002155D0" w:rsidRDefault="002F27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геоданными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  <w:proofErr w:type="gramEnd"/>
          </w:p>
          <w:p w14:paraId="61DB0763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Работа с данными/СУБД</w:t>
            </w:r>
          </w:p>
          <w:p w14:paraId="2AB7431F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Транзакционные</w:t>
            </w:r>
          </w:p>
          <w:p w14:paraId="5396D427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Ширококолоночные</w:t>
            </w:r>
            <w:proofErr w:type="spellEnd"/>
          </w:p>
          <w:p w14:paraId="5C55B87A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База данных «ключ-значение»</w:t>
            </w:r>
          </w:p>
          <w:p w14:paraId="5F931821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Полнотекстовый индекс</w:t>
            </w:r>
          </w:p>
          <w:p w14:paraId="291194D6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Аналитическое хранилище данных</w:t>
            </w:r>
          </w:p>
          <w:p w14:paraId="2287B055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Аналитические витрины хранилища</w:t>
            </w:r>
          </w:p>
          <w:p w14:paraId="4A847782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Хранение неструктурированных данных</w:t>
            </w:r>
          </w:p>
          <w:p w14:paraId="56E98CC5" w14:textId="77777777" w:rsidR="003015E8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Сервис объектного хранилища</w:t>
            </w:r>
          </w:p>
          <w:p w14:paraId="58CA3389" w14:textId="77777777" w:rsidR="003015E8" w:rsidRPr="001F7D27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Потоки и преобразования данных</w:t>
            </w:r>
          </w:p>
          <w:p w14:paraId="60280408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Сервисы интеграционного взаимодействия и управление очередями сообщений</w:t>
            </w:r>
          </w:p>
          <w:p w14:paraId="7A2F8B02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Сервисы управления </w:t>
            </w:r>
            <w:proofErr w:type="spellStart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микросервисами</w:t>
            </w:r>
            <w:proofErr w:type="spellEnd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 и управление процессами</w:t>
            </w:r>
          </w:p>
          <w:p w14:paraId="0CF4BF58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Интеграция с ИЭП</w:t>
            </w:r>
          </w:p>
          <w:p w14:paraId="245D50F0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Витрина НСУД</w:t>
            </w:r>
          </w:p>
          <w:p w14:paraId="2AF6C2FB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Шлюз ЕСИА</w:t>
            </w:r>
          </w:p>
          <w:p w14:paraId="57A2EF13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Шлюз СМЭВ</w:t>
            </w:r>
          </w:p>
          <w:p w14:paraId="20BA8837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Служебные технологические</w:t>
            </w:r>
          </w:p>
          <w:p w14:paraId="2F08776E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Сервис аутентификации </w:t>
            </w:r>
          </w:p>
          <w:p w14:paraId="72DA7B71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Журналирование </w:t>
            </w:r>
          </w:p>
          <w:p w14:paraId="42BE9F01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Аудит </w:t>
            </w:r>
          </w:p>
          <w:p w14:paraId="25E6B412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Мониторинг </w:t>
            </w:r>
          </w:p>
          <w:p w14:paraId="1E96CDB0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Представление </w:t>
            </w:r>
            <w:proofErr w:type="spellStart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кворумного</w:t>
            </w:r>
            <w:proofErr w:type="spellEnd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 ЦОД </w:t>
            </w:r>
          </w:p>
          <w:p w14:paraId="1A5DA6CA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Аналитика и мониторинг производственного процесса </w:t>
            </w:r>
          </w:p>
          <w:p w14:paraId="15D462A9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развертыванием ПО </w:t>
            </w:r>
          </w:p>
          <w:p w14:paraId="0FD9A79E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поставками дистрибутивов </w:t>
            </w:r>
          </w:p>
          <w:p w14:paraId="2C00110C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Управление сборкой ПО</w:t>
            </w:r>
          </w:p>
          <w:p w14:paraId="199AB920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Производственный процесс</w:t>
            </w:r>
          </w:p>
          <w:p w14:paraId="5FBCCA34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планированием </w:t>
            </w:r>
          </w:p>
          <w:p w14:paraId="68A614F7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требованиями </w:t>
            </w:r>
          </w:p>
          <w:p w14:paraId="467F2D09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релизами </w:t>
            </w:r>
          </w:p>
          <w:p w14:paraId="17EF7BED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дефектами </w:t>
            </w:r>
          </w:p>
          <w:p w14:paraId="5971FBC7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тестированием </w:t>
            </w:r>
          </w:p>
          <w:p w14:paraId="04D4E27B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репозиториями дистрибутивов </w:t>
            </w:r>
          </w:p>
          <w:p w14:paraId="76012C59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Версионный</w:t>
            </w:r>
            <w:proofErr w:type="spellEnd"/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 контроль исходного кода и конфигураций </w:t>
            </w:r>
          </w:p>
          <w:p w14:paraId="260F3DDB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Анализ качества кода </w:t>
            </w:r>
          </w:p>
          <w:p w14:paraId="31C4C736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Проектирование интерфейсов прикладного программирования и архитектурного контроля</w:t>
            </w:r>
          </w:p>
          <w:p w14:paraId="651B357C" w14:textId="77777777" w:rsidR="003015E8" w:rsidRPr="00BD292F" w:rsidRDefault="003015E8" w:rsidP="003015E8">
            <w:pPr>
              <w:spacing w:before="0" w:after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Среда виртуализации</w:t>
            </w:r>
          </w:p>
          <w:p w14:paraId="5FDFD234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Система виртуализации </w:t>
            </w:r>
          </w:p>
          <w:p w14:paraId="288FEDE8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контейнерами </w:t>
            </w:r>
          </w:p>
          <w:p w14:paraId="34A6AF07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динамической инфраструктурой </w:t>
            </w:r>
          </w:p>
          <w:p w14:paraId="79957FE6" w14:textId="77777777" w:rsidR="003015E8" w:rsidRPr="00BD292F" w:rsidRDefault="003015E8" w:rsidP="003015E8">
            <w:pPr>
              <w:spacing w:before="0" w:after="0"/>
              <w:ind w:left="4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 xml:space="preserve">Управление виртуальными сетями </w:t>
            </w:r>
          </w:p>
          <w:p w14:paraId="64BA805B" w14:textId="77588B05" w:rsidR="003015E8" w:rsidRDefault="003015E8" w:rsidP="003015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ind w:firstLine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92F">
              <w:rPr>
                <w:rFonts w:asciiTheme="minorHAnsi" w:hAnsiTheme="minorHAnsi" w:cstheme="minorHAnsi"/>
                <w:sz w:val="20"/>
                <w:szCs w:val="20"/>
              </w:rPr>
              <w:t>Программное определяемое хранилище</w:t>
            </w:r>
          </w:p>
          <w:p w14:paraId="39991755" w14:textId="77777777" w:rsidR="002155D0" w:rsidRDefault="002155D0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0B1DB9DB" w14:textId="77777777">
        <w:tc>
          <w:tcPr>
            <w:tcW w:w="3501" w:type="dxa"/>
          </w:tcPr>
          <w:p w14:paraId="2753581D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3.4. Прочие функции, которые не покрываются базовыми сервисами</w:t>
            </w:r>
          </w:p>
        </w:tc>
        <w:tc>
          <w:tcPr>
            <w:tcW w:w="6694" w:type="dxa"/>
          </w:tcPr>
          <w:p w14:paraId="436815EB" w14:textId="5C9C99FE" w:rsidR="002155D0" w:rsidRDefault="002F27DE">
            <w:pPr>
              <w:spacing w:before="0"/>
              <w:ind w:left="6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Приводится </w:t>
            </w:r>
            <w:r w:rsidR="00327985">
              <w:rPr>
                <w:rFonts w:asciiTheme="minorHAnsi" w:hAnsiTheme="minorHAnsi" w:cstheme="minorHAnsi"/>
                <w:sz w:val="20"/>
                <w:szCs w:val="20"/>
              </w:rPr>
              <w:t xml:space="preserve">описание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функциональных сервисов (подсистем), описание их назначения, функций и их реализации, показателей и характеристик.</w:t>
            </w:r>
          </w:p>
        </w:tc>
      </w:tr>
      <w:tr w:rsidR="002155D0" w14:paraId="710F881E" w14:textId="77777777">
        <w:trPr>
          <w:trHeight w:val="567"/>
        </w:trPr>
        <w:tc>
          <w:tcPr>
            <w:tcW w:w="10195" w:type="dxa"/>
            <w:gridSpan w:val="2"/>
            <w:vAlign w:val="center"/>
          </w:tcPr>
          <w:p w14:paraId="0E6FC61A" w14:textId="77777777" w:rsidR="002155D0" w:rsidRDefault="002F27DE" w:rsidP="002F27DE">
            <w:pPr>
              <w:pStyle w:val="aff"/>
              <w:numPr>
                <w:ilvl w:val="0"/>
                <w:numId w:val="5"/>
              </w:numPr>
              <w:spacing w:after="0" w:line="240" w:lineRule="auto"/>
              <w:ind w:left="316" w:hanging="316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Показатели назначения </w:t>
            </w:r>
          </w:p>
        </w:tc>
      </w:tr>
      <w:tr w:rsidR="002155D0" w14:paraId="26320146" w14:textId="77777777">
        <w:tc>
          <w:tcPr>
            <w:tcW w:w="3501" w:type="dxa"/>
          </w:tcPr>
          <w:p w14:paraId="7BE5DB55" w14:textId="77777777" w:rsidR="002155D0" w:rsidRDefault="002F27DE">
            <w:pPr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4.1. Количество внутренних пользователей</w:t>
            </w:r>
          </w:p>
        </w:tc>
        <w:tc>
          <w:tcPr>
            <w:tcW w:w="6694" w:type="dxa"/>
          </w:tcPr>
          <w:p w14:paraId="3C1C5692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3E6CF6B4" w14:textId="77777777">
        <w:trPr>
          <w:trHeight w:val="300"/>
        </w:trPr>
        <w:tc>
          <w:tcPr>
            <w:tcW w:w="3501" w:type="dxa"/>
          </w:tcPr>
          <w:p w14:paraId="676792EC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4.2. Количество/численный состав площадок внутренних пользователей (округа, филиалы, отделения) </w:t>
            </w:r>
          </w:p>
        </w:tc>
        <w:tc>
          <w:tcPr>
            <w:tcW w:w="6694" w:type="dxa"/>
          </w:tcPr>
          <w:p w14:paraId="0B7C664B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72E437AA" w14:textId="77777777">
        <w:tc>
          <w:tcPr>
            <w:tcW w:w="3501" w:type="dxa"/>
          </w:tcPr>
          <w:p w14:paraId="75413EB7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4.3. Количество внешних пользователей</w:t>
            </w:r>
          </w:p>
        </w:tc>
        <w:tc>
          <w:tcPr>
            <w:tcW w:w="6694" w:type="dxa"/>
          </w:tcPr>
          <w:p w14:paraId="630FDED3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2A7D47EF" w14:textId="77777777">
        <w:tc>
          <w:tcPr>
            <w:tcW w:w="3501" w:type="dxa"/>
          </w:tcPr>
          <w:p w14:paraId="38386DFE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4.4. Количество одновременно работающих пользователей</w:t>
            </w:r>
          </w:p>
        </w:tc>
        <w:tc>
          <w:tcPr>
            <w:tcW w:w="6694" w:type="dxa"/>
          </w:tcPr>
          <w:p w14:paraId="67E07F37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14D44530" w14:textId="77777777">
        <w:tc>
          <w:tcPr>
            <w:tcW w:w="3501" w:type="dxa"/>
          </w:tcPr>
          <w:p w14:paraId="233D6555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4.5. Время отклика при обращении к ГИС</w:t>
            </w:r>
          </w:p>
        </w:tc>
        <w:tc>
          <w:tcPr>
            <w:tcW w:w="6694" w:type="dxa"/>
          </w:tcPr>
          <w:p w14:paraId="056528A0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1C21C1C9" w14:textId="77777777">
        <w:tc>
          <w:tcPr>
            <w:tcW w:w="3501" w:type="dxa"/>
          </w:tcPr>
          <w:p w14:paraId="2E6F0BB8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4.6. Объемы хранимых данных</w:t>
            </w:r>
          </w:p>
        </w:tc>
        <w:tc>
          <w:tcPr>
            <w:tcW w:w="6694" w:type="dxa"/>
          </w:tcPr>
          <w:p w14:paraId="75215E0B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31F7846A" w14:textId="77777777">
        <w:tc>
          <w:tcPr>
            <w:tcW w:w="3501" w:type="dxa"/>
          </w:tcPr>
          <w:p w14:paraId="5614042D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4.7. Срок архивного хранения данных</w:t>
            </w:r>
          </w:p>
        </w:tc>
        <w:tc>
          <w:tcPr>
            <w:tcW w:w="6694" w:type="dxa"/>
          </w:tcPr>
          <w:p w14:paraId="58F1091D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474413D5" w14:textId="77777777">
        <w:tc>
          <w:tcPr>
            <w:tcW w:w="3501" w:type="dxa"/>
          </w:tcPr>
          <w:p w14:paraId="7F9F990A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4.8. Резервное копирование данных</w:t>
            </w:r>
          </w:p>
        </w:tc>
        <w:tc>
          <w:tcPr>
            <w:tcW w:w="6694" w:type="dxa"/>
          </w:tcPr>
          <w:p w14:paraId="28BF203A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4E429BB3" w14:textId="77777777">
        <w:trPr>
          <w:trHeight w:val="300"/>
        </w:trPr>
        <w:tc>
          <w:tcPr>
            <w:tcW w:w="3501" w:type="dxa"/>
          </w:tcPr>
          <w:p w14:paraId="19B9A627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4.9. Доступность ГИС</w:t>
            </w:r>
          </w:p>
        </w:tc>
        <w:tc>
          <w:tcPr>
            <w:tcW w:w="6694" w:type="dxa"/>
          </w:tcPr>
          <w:p w14:paraId="0227DC7F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55D0" w14:paraId="69E0D1CC" w14:textId="77777777">
        <w:trPr>
          <w:trHeight w:val="300"/>
        </w:trPr>
        <w:tc>
          <w:tcPr>
            <w:tcW w:w="3501" w:type="dxa"/>
          </w:tcPr>
          <w:p w14:paraId="6C5BF845" w14:textId="77777777" w:rsidR="002155D0" w:rsidRDefault="002F27DE">
            <w:pPr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4.10 Количество ЦОД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георезервирование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94" w:type="dxa"/>
          </w:tcPr>
          <w:p w14:paraId="1F506289" w14:textId="77777777" w:rsidR="002155D0" w:rsidRDefault="002155D0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DD6981" w14:textId="77777777" w:rsidR="002155D0" w:rsidRDefault="002155D0">
      <w:pPr>
        <w:pStyle w:val="afff7"/>
        <w:spacing w:after="0" w:line="240" w:lineRule="auto"/>
        <w:ind w:firstLine="0"/>
        <w:rPr>
          <w:rFonts w:asciiTheme="minorHAnsi" w:hAnsiTheme="minorHAnsi" w:cstheme="minorHAnsi"/>
          <w:sz w:val="20"/>
        </w:rPr>
      </w:pPr>
    </w:p>
    <w:sectPr w:rsidR="002155D0">
      <w:headerReference w:type="default" r:id="rId8"/>
      <w:pgSz w:w="11906" w:h="16838"/>
      <w:pgMar w:top="81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6708" w14:textId="77777777" w:rsidR="005D15C1" w:rsidRDefault="005D15C1">
      <w:r>
        <w:separator/>
      </w:r>
    </w:p>
    <w:p w14:paraId="1C4A7D84" w14:textId="77777777" w:rsidR="005D15C1" w:rsidRDefault="005D15C1"/>
  </w:endnote>
  <w:endnote w:type="continuationSeparator" w:id="0">
    <w:p w14:paraId="44636E6B" w14:textId="77777777" w:rsidR="005D15C1" w:rsidRDefault="005D15C1">
      <w:r>
        <w:continuationSeparator/>
      </w:r>
    </w:p>
    <w:p w14:paraId="358FEA18" w14:textId="77777777" w:rsidR="005D15C1" w:rsidRDefault="005D15C1"/>
  </w:endnote>
  <w:endnote w:type="continuationNotice" w:id="1">
    <w:p w14:paraId="445E0868" w14:textId="77777777" w:rsidR="005D15C1" w:rsidRDefault="005D15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0CD1" w14:textId="77777777" w:rsidR="005D15C1" w:rsidRDefault="005D15C1">
      <w:r>
        <w:separator/>
      </w:r>
    </w:p>
    <w:p w14:paraId="49E78032" w14:textId="77777777" w:rsidR="005D15C1" w:rsidRDefault="005D15C1"/>
  </w:footnote>
  <w:footnote w:type="continuationSeparator" w:id="0">
    <w:p w14:paraId="694E12CE" w14:textId="77777777" w:rsidR="005D15C1" w:rsidRDefault="005D15C1">
      <w:r>
        <w:continuationSeparator/>
      </w:r>
    </w:p>
    <w:p w14:paraId="73345DF2" w14:textId="77777777" w:rsidR="005D15C1" w:rsidRDefault="005D15C1"/>
  </w:footnote>
  <w:footnote w:type="continuationNotice" w:id="1">
    <w:p w14:paraId="4B48300F" w14:textId="77777777" w:rsidR="005D15C1" w:rsidRDefault="005D15C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423197"/>
      <w:docPartObj>
        <w:docPartGallery w:val="Page Numbers (Top of Page)"/>
        <w:docPartUnique/>
      </w:docPartObj>
    </w:sdtPr>
    <w:sdtContent>
      <w:p w14:paraId="6BFF4B1E" w14:textId="77777777" w:rsidR="002155D0" w:rsidRDefault="002F27DE">
        <w:pPr>
          <w:pStyle w:val="af7"/>
          <w:spacing w:after="120"/>
          <w:ind w:firstLine="0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>3</w:t>
        </w:r>
        <w:r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98"/>
    <w:multiLevelType w:val="hybridMultilevel"/>
    <w:tmpl w:val="27483C32"/>
    <w:lvl w:ilvl="0" w:tplc="B56A3662">
      <w:start w:val="1"/>
      <w:numFmt w:val="decimal"/>
      <w:pStyle w:val="a"/>
      <w:suff w:val="nothing"/>
      <w:lvlText w:val="%1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1" w:tplc="CCF0AACA">
      <w:start w:val="1"/>
      <w:numFmt w:val="lowerLetter"/>
      <w:lvlText w:val="%2."/>
      <w:lvlJc w:val="left"/>
      <w:pPr>
        <w:ind w:left="1582" w:hanging="360"/>
      </w:pPr>
    </w:lvl>
    <w:lvl w:ilvl="2" w:tplc="8F24BC8A">
      <w:start w:val="1"/>
      <w:numFmt w:val="lowerRoman"/>
      <w:lvlText w:val="%3."/>
      <w:lvlJc w:val="right"/>
      <w:pPr>
        <w:ind w:left="2302" w:hanging="180"/>
      </w:pPr>
    </w:lvl>
    <w:lvl w:ilvl="3" w:tplc="972C084A">
      <w:start w:val="1"/>
      <w:numFmt w:val="decimal"/>
      <w:lvlText w:val="%4."/>
      <w:lvlJc w:val="left"/>
      <w:pPr>
        <w:ind w:left="3022" w:hanging="360"/>
      </w:pPr>
    </w:lvl>
    <w:lvl w:ilvl="4" w:tplc="524801DE">
      <w:start w:val="1"/>
      <w:numFmt w:val="lowerLetter"/>
      <w:lvlText w:val="%5."/>
      <w:lvlJc w:val="left"/>
      <w:pPr>
        <w:ind w:left="3742" w:hanging="360"/>
      </w:pPr>
    </w:lvl>
    <w:lvl w:ilvl="5" w:tplc="EB441586">
      <w:start w:val="1"/>
      <w:numFmt w:val="lowerRoman"/>
      <w:lvlText w:val="%6."/>
      <w:lvlJc w:val="right"/>
      <w:pPr>
        <w:ind w:left="4462" w:hanging="180"/>
      </w:pPr>
    </w:lvl>
    <w:lvl w:ilvl="6" w:tplc="0B1A25DC">
      <w:start w:val="1"/>
      <w:numFmt w:val="decimal"/>
      <w:lvlText w:val="%7."/>
      <w:lvlJc w:val="left"/>
      <w:pPr>
        <w:ind w:left="5182" w:hanging="360"/>
      </w:pPr>
    </w:lvl>
    <w:lvl w:ilvl="7" w:tplc="B958E074">
      <w:start w:val="1"/>
      <w:numFmt w:val="lowerLetter"/>
      <w:lvlText w:val="%8."/>
      <w:lvlJc w:val="left"/>
      <w:pPr>
        <w:ind w:left="5902" w:hanging="360"/>
      </w:pPr>
    </w:lvl>
    <w:lvl w:ilvl="8" w:tplc="6578067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B06041"/>
    <w:multiLevelType w:val="hybridMultilevel"/>
    <w:tmpl w:val="C6B4A2AE"/>
    <w:lvl w:ilvl="0" w:tplc="68B8D6A0">
      <w:start w:val="1"/>
      <w:numFmt w:val="bullet"/>
      <w:pStyle w:val="a0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3F00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A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F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A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6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A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80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87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550"/>
    <w:multiLevelType w:val="multilevel"/>
    <w:tmpl w:val="F020C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E8F15C9"/>
    <w:multiLevelType w:val="hybridMultilevel"/>
    <w:tmpl w:val="DA64E7D6"/>
    <w:lvl w:ilvl="0" w:tplc="B274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A06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25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EC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D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EB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6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A7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E3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4DA1"/>
    <w:multiLevelType w:val="hybridMultilevel"/>
    <w:tmpl w:val="BD18C16A"/>
    <w:lvl w:ilvl="0" w:tplc="93DCFDDE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C17AF36E">
      <w:start w:val="1"/>
      <w:numFmt w:val="lowerLetter"/>
      <w:lvlText w:val="%2."/>
      <w:lvlJc w:val="left"/>
      <w:pPr>
        <w:ind w:left="1440" w:hanging="360"/>
      </w:pPr>
    </w:lvl>
    <w:lvl w:ilvl="2" w:tplc="453A234E">
      <w:start w:val="1"/>
      <w:numFmt w:val="lowerRoman"/>
      <w:lvlText w:val="%3."/>
      <w:lvlJc w:val="right"/>
      <w:pPr>
        <w:ind w:left="2160" w:hanging="180"/>
      </w:pPr>
    </w:lvl>
    <w:lvl w:ilvl="3" w:tplc="C6D8CC4E">
      <w:start w:val="1"/>
      <w:numFmt w:val="decimal"/>
      <w:lvlText w:val="%4."/>
      <w:lvlJc w:val="left"/>
      <w:pPr>
        <w:ind w:left="2880" w:hanging="360"/>
      </w:pPr>
    </w:lvl>
    <w:lvl w:ilvl="4" w:tplc="66787300">
      <w:start w:val="1"/>
      <w:numFmt w:val="lowerLetter"/>
      <w:lvlText w:val="%5."/>
      <w:lvlJc w:val="left"/>
      <w:pPr>
        <w:ind w:left="3600" w:hanging="360"/>
      </w:pPr>
    </w:lvl>
    <w:lvl w:ilvl="5" w:tplc="3202EB12">
      <w:start w:val="1"/>
      <w:numFmt w:val="lowerRoman"/>
      <w:lvlText w:val="%6."/>
      <w:lvlJc w:val="right"/>
      <w:pPr>
        <w:ind w:left="4320" w:hanging="180"/>
      </w:pPr>
    </w:lvl>
    <w:lvl w:ilvl="6" w:tplc="B2D63A78">
      <w:start w:val="1"/>
      <w:numFmt w:val="decimal"/>
      <w:lvlText w:val="%7."/>
      <w:lvlJc w:val="left"/>
      <w:pPr>
        <w:ind w:left="5040" w:hanging="360"/>
      </w:pPr>
    </w:lvl>
    <w:lvl w:ilvl="7" w:tplc="8E4A0FA8">
      <w:start w:val="1"/>
      <w:numFmt w:val="lowerLetter"/>
      <w:lvlText w:val="%8."/>
      <w:lvlJc w:val="left"/>
      <w:pPr>
        <w:ind w:left="5760" w:hanging="360"/>
      </w:pPr>
    </w:lvl>
    <w:lvl w:ilvl="8" w:tplc="1D7222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64086"/>
    <w:multiLevelType w:val="multilevel"/>
    <w:tmpl w:val="3FAE5C68"/>
    <w:lvl w:ilvl="0">
      <w:start w:val="1"/>
      <w:numFmt w:val="decimal"/>
      <w:pStyle w:val="1"/>
      <w:suff w:val="space"/>
      <w:lvlText w:val="%1"/>
      <w:lvlJc w:val="right"/>
      <w:pPr>
        <w:ind w:left="0" w:firstLine="0"/>
      </w:pPr>
      <w:rPr>
        <w:rFonts w:ascii="Times New Roman Полужирный" w:hAnsi="Times New Roman Полужирный" w:hint="default"/>
        <w:b/>
        <w:i w:val="0"/>
        <w:caps/>
        <w:strike w:val="0"/>
        <w:vanish w:val="0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caps w:val="0"/>
        <w:strike w:val="0"/>
        <w:vanish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  <w:szCs w:val="28"/>
        <w:u w:val="none"/>
      </w:rPr>
    </w:lvl>
    <w:lvl w:ilvl="4">
      <w:start w:val="1"/>
      <w:numFmt w:val="decimal"/>
      <w:lvlText w:val="%1.%2.%3.%4.%5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5">
      <w:start w:val="1"/>
      <w:numFmt w:val="decimal"/>
      <w:lvlText w:val="%1.%2.%3.%4.%5.%6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6">
      <w:start w:val="1"/>
      <w:numFmt w:val="decimal"/>
      <w:lvlText w:val="%1.%2.%3.%4.%5.%6.%7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7">
      <w:start w:val="1"/>
      <w:numFmt w:val="decimal"/>
      <w:lvlText w:val="%1.%2.%3.%4.%5.%6.%7.%8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8">
      <w:start w:val="1"/>
      <w:numFmt w:val="decimal"/>
      <w:lvlText w:val="%1.%2.%3.%4.%5.%6.%7.%8.%9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</w:abstractNum>
  <w:num w:numId="1" w16cid:durableId="1557472110">
    <w:abstractNumId w:val="5"/>
  </w:num>
  <w:num w:numId="2" w16cid:durableId="2103866988">
    <w:abstractNumId w:val="1"/>
  </w:num>
  <w:num w:numId="3" w16cid:durableId="548807744">
    <w:abstractNumId w:val="0"/>
  </w:num>
  <w:num w:numId="4" w16cid:durableId="871453563">
    <w:abstractNumId w:val="4"/>
  </w:num>
  <w:num w:numId="5" w16cid:durableId="2010669244">
    <w:abstractNumId w:val="2"/>
  </w:num>
  <w:num w:numId="6" w16cid:durableId="13829463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D0"/>
    <w:rsid w:val="0001495E"/>
    <w:rsid w:val="000702D6"/>
    <w:rsid w:val="002155D0"/>
    <w:rsid w:val="002D6388"/>
    <w:rsid w:val="002F27DE"/>
    <w:rsid w:val="003015E8"/>
    <w:rsid w:val="00327985"/>
    <w:rsid w:val="003F1B08"/>
    <w:rsid w:val="005B4E67"/>
    <w:rsid w:val="005D15C1"/>
    <w:rsid w:val="00653226"/>
    <w:rsid w:val="006C49F5"/>
    <w:rsid w:val="006F05D7"/>
    <w:rsid w:val="008461F0"/>
    <w:rsid w:val="00B350F9"/>
    <w:rsid w:val="00B72CF5"/>
    <w:rsid w:val="00C73F34"/>
    <w:rsid w:val="00E40630"/>
    <w:rsid w:val="00E725CD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37D"/>
  <w15:docId w15:val="{1F2518F1-0E9B-7B41-89AE-B4C8172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pacing w:before="120" w:after="12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keepLines/>
      <w:numPr>
        <w:numId w:val="1"/>
      </w:numPr>
      <w:spacing w:before="240" w:line="360" w:lineRule="atLeast"/>
      <w:jc w:val="center"/>
      <w:outlineLvl w:val="0"/>
    </w:pPr>
    <w:rPr>
      <w:rFonts w:ascii="Times New Roman Полужирный" w:eastAsia="Times New Roman" w:hAnsi="Times New Roman Полужирный" w:cs="Arial"/>
      <w:b/>
      <w:sz w:val="28"/>
      <w:szCs w:val="36"/>
    </w:rPr>
  </w:style>
  <w:style w:type="paragraph" w:styleId="2">
    <w:name w:val="heading 2"/>
    <w:basedOn w:val="1"/>
    <w:next w:val="a2"/>
    <w:link w:val="20"/>
    <w:qFormat/>
    <w:pPr>
      <w:numPr>
        <w:ilvl w:val="1"/>
      </w:numPr>
      <w:spacing w:before="120"/>
      <w:jc w:val="left"/>
      <w:outlineLvl w:val="1"/>
    </w:pPr>
    <w:rPr>
      <w:rFonts w:eastAsiaTheme="majorEastAsia"/>
    </w:rPr>
  </w:style>
  <w:style w:type="paragraph" w:styleId="3">
    <w:name w:val="heading 3"/>
    <w:basedOn w:val="2"/>
    <w:next w:val="a2"/>
    <w:link w:val="30"/>
    <w:uiPriority w:val="99"/>
    <w:qFormat/>
    <w:pPr>
      <w:numPr>
        <w:ilvl w:val="2"/>
      </w:numPr>
      <w:outlineLvl w:val="2"/>
    </w:pPr>
  </w:style>
  <w:style w:type="paragraph" w:styleId="4">
    <w:name w:val="heading 4"/>
    <w:basedOn w:val="a2"/>
    <w:next w:val="a2"/>
    <w:link w:val="40"/>
    <w:qFormat/>
    <w:pPr>
      <w:keepNext/>
      <w:numPr>
        <w:ilvl w:val="3"/>
        <w:numId w:val="1"/>
      </w:numPr>
      <w:spacing w:before="100" w:beforeAutospacing="1" w:after="0"/>
      <w:jc w:val="left"/>
      <w:outlineLvl w:val="3"/>
    </w:pPr>
    <w:rPr>
      <w:rFonts w:eastAsia="Times New Roman"/>
      <w:b/>
      <w:sz w:val="28"/>
    </w:rPr>
  </w:style>
  <w:style w:type="paragraph" w:styleId="5">
    <w:name w:val="heading 5"/>
    <w:basedOn w:val="a2"/>
    <w:next w:val="a2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2"/>
    <w:next w:val="a2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3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3"/>
    <w:uiPriority w:val="10"/>
    <w:rPr>
      <w:sz w:val="48"/>
      <w:szCs w:val="48"/>
    </w:rPr>
  </w:style>
  <w:style w:type="paragraph" w:styleId="a6">
    <w:name w:val="Subtitle"/>
    <w:basedOn w:val="a2"/>
    <w:next w:val="a2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3"/>
    <w:link w:val="a6"/>
    <w:uiPriority w:val="11"/>
    <w:rPr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2"/>
    <w:next w:val="a2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3"/>
    <w:uiPriority w:val="99"/>
  </w:style>
  <w:style w:type="character" w:customStyle="1" w:styleId="FooterChar">
    <w:name w:val="Footer Char"/>
    <w:basedOn w:val="a3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4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2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3"/>
    <w:uiPriority w:val="99"/>
    <w:unhideWhenUsed/>
    <w:rPr>
      <w:vertAlign w:val="superscript"/>
    </w:rPr>
  </w:style>
  <w:style w:type="paragraph" w:styleId="ad">
    <w:name w:val="endnote text"/>
    <w:basedOn w:val="a2"/>
    <w:link w:val="ae"/>
    <w:uiPriority w:val="99"/>
    <w:semiHidden/>
    <w:unhideWhenUsed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3"/>
    <w:uiPriority w:val="99"/>
    <w:semiHidden/>
    <w:unhideWhenUsed/>
    <w:rPr>
      <w:vertAlign w:val="superscript"/>
    </w:rPr>
  </w:style>
  <w:style w:type="paragraph" w:styleId="42">
    <w:name w:val="toc 4"/>
    <w:basedOn w:val="a2"/>
    <w:next w:val="a2"/>
    <w:uiPriority w:val="39"/>
    <w:unhideWhenUsed/>
    <w:pPr>
      <w:spacing w:after="57"/>
      <w:ind w:left="850" w:firstLine="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 w:firstLine="0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 w:firstLine="0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 w:firstLine="0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 w:firstLine="0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 w:firstLine="0"/>
    </w:pPr>
  </w:style>
  <w:style w:type="paragraph" w:styleId="af0">
    <w:name w:val="table of figures"/>
    <w:basedOn w:val="a2"/>
    <w:next w:val="a2"/>
    <w:uiPriority w:val="99"/>
    <w:unhideWhenUsed/>
    <w:pPr>
      <w:spacing w:after="0"/>
    </w:pPr>
  </w:style>
  <w:style w:type="table" w:styleId="af1">
    <w:name w:val="Table Grid"/>
    <w:basedOn w:val="a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Pr>
      <w:rFonts w:ascii="Times New Roman Полужирный" w:eastAsiaTheme="majorEastAsia" w:hAnsi="Times New Roman Полужирный" w:cs="Arial"/>
      <w:b/>
      <w:sz w:val="28"/>
      <w:szCs w:val="36"/>
    </w:rPr>
  </w:style>
  <w:style w:type="character" w:customStyle="1" w:styleId="10">
    <w:name w:val="Заголовок 1 Знак"/>
    <w:link w:val="1"/>
    <w:rPr>
      <w:rFonts w:ascii="Times New Roman Полужирный" w:eastAsia="Times New Roman" w:hAnsi="Times New Roman Полужирный" w:cs="Arial"/>
      <w:b/>
      <w:sz w:val="28"/>
      <w:szCs w:val="36"/>
    </w:rPr>
  </w:style>
  <w:style w:type="paragraph" w:styleId="af2">
    <w:name w:val="No Spacing"/>
    <w:basedOn w:val="a2"/>
    <w:link w:val="af3"/>
    <w:uiPriority w:val="1"/>
    <w:pPr>
      <w:ind w:firstLine="426"/>
    </w:pPr>
  </w:style>
  <w:style w:type="paragraph" w:styleId="af4">
    <w:name w:val="caption"/>
    <w:basedOn w:val="af5"/>
    <w:next w:val="a2"/>
    <w:uiPriority w:val="35"/>
    <w:unhideWhenUsed/>
    <w:qFormat/>
    <w:pPr>
      <w:keepNext/>
      <w:ind w:firstLine="425"/>
    </w:pPr>
  </w:style>
  <w:style w:type="paragraph" w:customStyle="1" w:styleId="af5">
    <w:name w:val="ЗаголовокТаблицы"/>
    <w:basedOn w:val="af2"/>
    <w:link w:val="af6"/>
    <w:qFormat/>
    <w:rPr>
      <w:b/>
    </w:rPr>
  </w:style>
  <w:style w:type="paragraph" w:styleId="af7">
    <w:name w:val="header"/>
    <w:basedOn w:val="a2"/>
    <w:link w:val="af8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3">
    <w:name w:val="Без интервала Знак"/>
    <w:basedOn w:val="a3"/>
    <w:link w:val="af2"/>
    <w:uiPriority w:val="1"/>
    <w:rPr>
      <w:rFonts w:ascii="Times New Roman" w:hAnsi="Times New Roman" w:cs="Times New Roman"/>
      <w:sz w:val="24"/>
      <w:szCs w:val="24"/>
    </w:rPr>
  </w:style>
  <w:style w:type="character" w:customStyle="1" w:styleId="af6">
    <w:name w:val="ЗаголовокТаблицы Знак"/>
    <w:basedOn w:val="af3"/>
    <w:link w:val="af5"/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Верхний колонтитул Знак"/>
    <w:basedOn w:val="a3"/>
    <w:link w:val="af7"/>
    <w:uiPriority w:val="99"/>
    <w:rPr>
      <w:rFonts w:ascii="Times New Roman" w:hAnsi="Times New Roman" w:cs="Times New Roman"/>
      <w:sz w:val="24"/>
      <w:szCs w:val="24"/>
    </w:rPr>
  </w:style>
  <w:style w:type="paragraph" w:styleId="af9">
    <w:name w:val="footer"/>
    <w:basedOn w:val="a2"/>
    <w:link w:val="afa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3"/>
    <w:link w:val="af9"/>
    <w:uiPriority w:val="99"/>
    <w:rPr>
      <w:rFonts w:ascii="Times New Roman" w:hAnsi="Times New Roman" w:cs="Times New Roman"/>
      <w:sz w:val="24"/>
      <w:szCs w:val="24"/>
    </w:rPr>
  </w:style>
  <w:style w:type="paragraph" w:styleId="afb">
    <w:name w:val="TOC Heading"/>
    <w:basedOn w:val="1"/>
    <w:next w:val="a2"/>
    <w:uiPriority w:val="39"/>
    <w:unhideWhenUsed/>
    <w:qFormat/>
    <w:pPr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lang w:eastAsia="ru-RU"/>
    </w:rPr>
  </w:style>
  <w:style w:type="paragraph" w:styleId="12">
    <w:name w:val="toc 1"/>
    <w:basedOn w:val="a2"/>
    <w:next w:val="a2"/>
    <w:uiPriority w:val="39"/>
    <w:unhideWhenUsed/>
    <w:qFormat/>
    <w:pPr>
      <w:spacing w:after="100"/>
    </w:pPr>
  </w:style>
  <w:style w:type="paragraph" w:styleId="24">
    <w:name w:val="toc 2"/>
    <w:basedOn w:val="a2"/>
    <w:next w:val="a2"/>
    <w:uiPriority w:val="39"/>
    <w:unhideWhenUsed/>
    <w:qFormat/>
    <w:pPr>
      <w:tabs>
        <w:tab w:val="left" w:pos="1760"/>
        <w:tab w:val="right" w:leader="dot" w:pos="9911"/>
      </w:tabs>
      <w:spacing w:after="100"/>
      <w:ind w:firstLine="284"/>
    </w:pPr>
  </w:style>
  <w:style w:type="character" w:styleId="afc">
    <w:name w:val="Hyperlink"/>
    <w:basedOn w:val="a3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2"/>
    <w:link w:val="afe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Pr>
      <w:rFonts w:ascii="Tahoma" w:hAnsi="Tahoma" w:cs="Tahoma"/>
      <w:sz w:val="16"/>
      <w:szCs w:val="16"/>
    </w:rPr>
  </w:style>
  <w:style w:type="paragraph" w:styleId="32">
    <w:name w:val="toc 3"/>
    <w:basedOn w:val="a2"/>
    <w:next w:val="a2"/>
    <w:uiPriority w:val="39"/>
    <w:semiHidden/>
    <w:unhideWhenUsed/>
    <w:qFormat/>
    <w:pPr>
      <w:spacing w:before="0" w:after="100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f">
    <w:name w:val="List Paragraph"/>
    <w:basedOn w:val="a2"/>
    <w:link w:val="aff0"/>
    <w:uiPriority w:val="34"/>
    <w:qFormat/>
    <w:pPr>
      <w:spacing w:before="0"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f0">
    <w:name w:val="Абзац списка Знак"/>
    <w:basedOn w:val="a3"/>
    <w:link w:val="aff"/>
    <w:uiPriority w:val="34"/>
  </w:style>
  <w:style w:type="paragraph" w:styleId="aff1">
    <w:name w:val="Title"/>
    <w:basedOn w:val="a2"/>
    <w:next w:val="a2"/>
    <w:link w:val="aff2"/>
    <w:uiPriority w:val="10"/>
    <w:qFormat/>
    <w:pPr>
      <w:spacing w:before="0" w:after="300"/>
      <w:ind w:firstLine="0"/>
      <w:contextualSpacing/>
      <w:jc w:val="center"/>
    </w:pPr>
    <w:rPr>
      <w:rFonts w:eastAsia="Arial Unicode MS"/>
      <w:b/>
      <w:spacing w:val="5"/>
      <w:sz w:val="28"/>
      <w:szCs w:val="28"/>
      <w:lang w:eastAsia="ru-RU"/>
    </w:rPr>
  </w:style>
  <w:style w:type="character" w:customStyle="1" w:styleId="aff2">
    <w:name w:val="Заголовок Знак"/>
    <w:basedOn w:val="a3"/>
    <w:link w:val="aff1"/>
    <w:uiPriority w:val="10"/>
    <w:rPr>
      <w:rFonts w:ascii="Times New Roman" w:eastAsia="Arial Unicode MS" w:hAnsi="Times New Roman" w:cs="Times New Roman"/>
      <w:b/>
      <w:spacing w:val="5"/>
      <w:sz w:val="28"/>
      <w:szCs w:val="28"/>
      <w:lang w:eastAsia="ru-RU"/>
    </w:rPr>
  </w:style>
  <w:style w:type="paragraph" w:customStyle="1" w:styleId="13">
    <w:name w:val="Обычный1"/>
    <w:basedOn w:val="a2"/>
    <w:link w:val="14"/>
    <w:qFormat/>
    <w:pPr>
      <w:spacing w:line="312" w:lineRule="auto"/>
    </w:pPr>
    <w:rPr>
      <w:sz w:val="28"/>
      <w:szCs w:val="28"/>
    </w:rPr>
  </w:style>
  <w:style w:type="paragraph" w:customStyle="1" w:styleId="aff3">
    <w:name w:val="ТекстТаблицы"/>
    <w:basedOn w:val="af2"/>
    <w:link w:val="aff4"/>
    <w:qFormat/>
    <w:pPr>
      <w:spacing w:before="0" w:after="0"/>
      <w:ind w:firstLine="0"/>
    </w:pPr>
  </w:style>
  <w:style w:type="character" w:customStyle="1" w:styleId="14">
    <w:name w:val="Обычный1 Знак"/>
    <w:basedOn w:val="af3"/>
    <w:link w:val="13"/>
    <w:rPr>
      <w:rFonts w:ascii="Times New Roman" w:hAnsi="Times New Roman" w:cs="Times New Roman"/>
      <w:sz w:val="28"/>
      <w:szCs w:val="28"/>
    </w:rPr>
  </w:style>
  <w:style w:type="character" w:customStyle="1" w:styleId="aff4">
    <w:name w:val="ТекстТаблицы Знак"/>
    <w:basedOn w:val="af3"/>
    <w:link w:val="aff3"/>
    <w:rPr>
      <w:rFonts w:ascii="Times New Roman" w:hAnsi="Times New Roman" w:cs="Times New Roman"/>
      <w:sz w:val="24"/>
      <w:szCs w:val="24"/>
    </w:rPr>
  </w:style>
  <w:style w:type="paragraph" w:customStyle="1" w:styleId="15">
    <w:name w:val="Таблица1строка"/>
    <w:basedOn w:val="aff3"/>
    <w:link w:val="16"/>
    <w:qFormat/>
    <w:pPr>
      <w:jc w:val="center"/>
    </w:pPr>
    <w:rPr>
      <w:b/>
    </w:rPr>
  </w:style>
  <w:style w:type="character" w:customStyle="1" w:styleId="16">
    <w:name w:val="Таблица1строка Знак"/>
    <w:basedOn w:val="aff4"/>
    <w:link w:val="15"/>
    <w:rPr>
      <w:rFonts w:ascii="Times New Roman" w:hAnsi="Times New Roman" w:cs="Times New Roman"/>
      <w:b/>
      <w:sz w:val="24"/>
      <w:szCs w:val="24"/>
    </w:rPr>
  </w:style>
  <w:style w:type="paragraph" w:customStyle="1" w:styleId="25">
    <w:name w:val="_Заголовок 2"/>
    <w:next w:val="a2"/>
    <w:qFormat/>
    <w:pPr>
      <w:keepNext/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60" w:after="160" w:line="360" w:lineRule="atLeast"/>
      <w:ind w:left="792" w:hanging="4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3">
    <w:name w:val="Уровень5"/>
    <w:basedOn w:val="a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134"/>
      </w:tabs>
      <w:spacing w:before="0" w:after="0"/>
      <w:ind w:left="2232" w:hanging="792"/>
    </w:pPr>
    <w:rPr>
      <w:rFonts w:eastAsia="Times New Roman"/>
      <w:sz w:val="28"/>
      <w:szCs w:val="28"/>
      <w:lang w:eastAsia="ru-RU"/>
    </w:rPr>
  </w:style>
  <w:style w:type="paragraph" w:customStyle="1" w:styleId="aff5">
    <w:name w:val="колонтитул"/>
    <w:basedOn w:val="aff"/>
    <w:link w:val="aff6"/>
    <w:qFormat/>
    <w:pPr>
      <w:jc w:val="right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f6">
    <w:name w:val="колонтитул Знак"/>
    <w:basedOn w:val="aff0"/>
    <w:link w:val="aff5"/>
    <w:rPr>
      <w:rFonts w:ascii="Times New Roman" w:hAnsi="Times New Roman" w:cs="Times New Roman"/>
      <w:sz w:val="24"/>
      <w:szCs w:val="24"/>
    </w:rPr>
  </w:style>
  <w:style w:type="character" w:styleId="aff7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f8">
    <w:name w:val="annotation text"/>
    <w:basedOn w:val="a2"/>
    <w:link w:val="aff9"/>
    <w:uiPriority w:val="99"/>
    <w:unhideWhenUsed/>
    <w:rPr>
      <w:sz w:val="20"/>
      <w:szCs w:val="20"/>
    </w:rPr>
  </w:style>
  <w:style w:type="character" w:customStyle="1" w:styleId="aff9">
    <w:name w:val="Текст примечания Знак"/>
    <w:basedOn w:val="a3"/>
    <w:link w:val="aff8"/>
    <w:uiPriority w:val="99"/>
    <w:rPr>
      <w:rFonts w:ascii="Times New Roman" w:hAnsi="Times New Roman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ffc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fd">
    <w:name w:val="page number"/>
    <w:basedOn w:val="a3"/>
  </w:style>
  <w:style w:type="paragraph" w:styleId="affe">
    <w:name w:val="Body Text"/>
    <w:basedOn w:val="a2"/>
    <w:link w:val="afff"/>
    <w:uiPriority w:val="99"/>
    <w:unhideWhenUsed/>
  </w:style>
  <w:style w:type="character" w:customStyle="1" w:styleId="afff">
    <w:name w:val="Основной текст Знак"/>
    <w:basedOn w:val="a3"/>
    <w:link w:val="affe"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rPr>
      <w:rFonts w:ascii="Times New Roman Полужирный" w:eastAsiaTheme="majorEastAsia" w:hAnsi="Times New Roman Полужирный" w:cs="Arial"/>
      <w:b/>
      <w:sz w:val="28"/>
      <w:szCs w:val="36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f0">
    <w:name w:val="Название рисунка"/>
    <w:basedOn w:val="af4"/>
    <w:link w:val="afff1"/>
    <w:qFormat/>
    <w:pPr>
      <w:keepNext w:val="0"/>
      <w:spacing w:before="0" w:line="360" w:lineRule="atLeast"/>
      <w:ind w:firstLine="709"/>
      <w:jc w:val="center"/>
    </w:pPr>
    <w:rPr>
      <w:rFonts w:eastAsia="Times New Roman"/>
      <w:sz w:val="28"/>
    </w:rPr>
  </w:style>
  <w:style w:type="character" w:customStyle="1" w:styleId="afff1">
    <w:name w:val="Название рисунка Знак"/>
    <w:link w:val="afff0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f2">
    <w:name w:val="Название таблицы"/>
    <w:basedOn w:val="af4"/>
    <w:qFormat/>
    <w:pPr>
      <w:spacing w:before="0" w:line="360" w:lineRule="atLeast"/>
      <w:ind w:firstLine="709"/>
    </w:pPr>
    <w:rPr>
      <w:rFonts w:eastAsia="Times New Roman"/>
      <w:bCs/>
      <w:sz w:val="28"/>
      <w:szCs w:val="18"/>
      <w:lang w:eastAsia="ru-RU"/>
    </w:rPr>
  </w:style>
  <w:style w:type="paragraph" w:customStyle="1" w:styleId="a0">
    <w:name w:val="ненум.список"/>
    <w:basedOn w:val="afff3"/>
    <w:link w:val="afff4"/>
    <w:qFormat/>
    <w:pPr>
      <w:numPr>
        <w:numId w:val="2"/>
      </w:numPr>
      <w:spacing w:before="0" w:line="360" w:lineRule="atLeast"/>
    </w:pPr>
    <w:rPr>
      <w:rFonts w:eastAsia="Times New Roman"/>
      <w:sz w:val="28"/>
      <w:szCs w:val="28"/>
    </w:rPr>
  </w:style>
  <w:style w:type="character" w:customStyle="1" w:styleId="afff4">
    <w:name w:val="ненум.список Знак"/>
    <w:link w:val="a0"/>
    <w:rPr>
      <w:rFonts w:ascii="Times New Roman" w:eastAsia="Times New Roman" w:hAnsi="Times New Roman" w:cs="Times New Roman"/>
      <w:sz w:val="28"/>
      <w:szCs w:val="28"/>
    </w:rPr>
  </w:style>
  <w:style w:type="paragraph" w:styleId="afff3">
    <w:name w:val="List"/>
    <w:basedOn w:val="a2"/>
    <w:uiPriority w:val="99"/>
    <w:semiHidden/>
    <w:unhideWhenUsed/>
    <w:pPr>
      <w:ind w:left="283" w:hanging="283"/>
      <w:contextualSpacing/>
    </w:pPr>
  </w:style>
  <w:style w:type="paragraph" w:customStyle="1" w:styleId="a">
    <w:name w:val="Номер в таблице"/>
    <w:basedOn w:val="a2"/>
    <w:link w:val="afff5"/>
    <w:qFormat/>
    <w:pPr>
      <w:numPr>
        <w:numId w:val="3"/>
      </w:numPr>
      <w:spacing w:before="0" w:after="0"/>
      <w:jc w:val="right"/>
    </w:pPr>
    <w:rPr>
      <w:rFonts w:eastAsia="Times New Roman"/>
      <w:sz w:val="28"/>
      <w:szCs w:val="20"/>
      <w:lang w:eastAsia="ru-RU"/>
    </w:rPr>
  </w:style>
  <w:style w:type="character" w:customStyle="1" w:styleId="afff5">
    <w:name w:val="Номер в таблице Знак"/>
    <w:link w:val="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Нумерованный сп."/>
    <w:basedOn w:val="a2"/>
    <w:link w:val="afff6"/>
    <w:qFormat/>
    <w:pPr>
      <w:numPr>
        <w:numId w:val="4"/>
      </w:numPr>
      <w:spacing w:before="0" w:line="360" w:lineRule="atLeast"/>
      <w:contextualSpacing/>
    </w:pPr>
    <w:rPr>
      <w:rFonts w:eastAsia="Times New Roman"/>
      <w:sz w:val="28"/>
      <w:szCs w:val="20"/>
      <w:lang w:eastAsia="ru-RU"/>
    </w:rPr>
  </w:style>
  <w:style w:type="character" w:customStyle="1" w:styleId="afff6">
    <w:name w:val="Нумерованный сп. Знак"/>
    <w:link w:val="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т."/>
    <w:basedOn w:val="a2"/>
    <w:link w:val="afff8"/>
    <w:qFormat/>
    <w:pPr>
      <w:spacing w:before="0" w:line="360" w:lineRule="atLeast"/>
      <w:ind w:firstLine="709"/>
    </w:pPr>
    <w:rPr>
      <w:rFonts w:eastAsia="Times New Roman"/>
      <w:sz w:val="28"/>
      <w:szCs w:val="20"/>
    </w:rPr>
  </w:style>
  <w:style w:type="character" w:customStyle="1" w:styleId="afff8">
    <w:name w:val="Основной т. Знак"/>
    <w:link w:val="afff7"/>
    <w:rPr>
      <w:rFonts w:ascii="Times New Roman" w:eastAsia="Times New Roman" w:hAnsi="Times New Roman" w:cs="Times New Roman"/>
      <w:sz w:val="28"/>
      <w:szCs w:val="20"/>
    </w:rPr>
  </w:style>
  <w:style w:type="paragraph" w:customStyle="1" w:styleId="afff9">
    <w:name w:val="рисунок"/>
    <w:basedOn w:val="afff7"/>
    <w:next w:val="afff7"/>
    <w:qFormat/>
    <w:pPr>
      <w:spacing w:before="120"/>
      <w:ind w:firstLine="0"/>
      <w:jc w:val="center"/>
    </w:pPr>
  </w:style>
  <w:style w:type="paragraph" w:customStyle="1" w:styleId="afffa">
    <w:name w:val="Текст таблицы"/>
    <w:basedOn w:val="a2"/>
    <w:link w:val="afffb"/>
    <w:qFormat/>
    <w:pPr>
      <w:spacing w:before="0" w:after="0"/>
      <w:ind w:firstLine="0"/>
      <w:jc w:val="left"/>
    </w:pPr>
    <w:rPr>
      <w:rFonts w:eastAsia="Times New Roman"/>
      <w:sz w:val="28"/>
      <w:szCs w:val="20"/>
    </w:rPr>
  </w:style>
  <w:style w:type="character" w:customStyle="1" w:styleId="afffb">
    <w:name w:val="Текст таблицы Знак"/>
    <w:link w:val="afffa"/>
    <w:rPr>
      <w:rFonts w:ascii="Times New Roman" w:eastAsia="Times New Roman" w:hAnsi="Times New Roman" w:cs="Times New Roman"/>
      <w:sz w:val="28"/>
      <w:szCs w:val="20"/>
    </w:rPr>
  </w:style>
  <w:style w:type="paragraph" w:customStyle="1" w:styleId="afffc">
    <w:name w:val="Шапка таблицы"/>
    <w:basedOn w:val="a2"/>
    <w:next w:val="afffa"/>
    <w:qFormat/>
    <w:pPr>
      <w:widowControl w:val="0"/>
      <w:spacing w:before="0" w:after="0" w:line="360" w:lineRule="atLeast"/>
      <w:ind w:firstLine="0"/>
      <w:jc w:val="center"/>
    </w:pPr>
    <w:rPr>
      <w:rFonts w:eastAsia="Times New Roman"/>
      <w:b/>
      <w:bCs/>
      <w:sz w:val="28"/>
      <w:szCs w:val="20"/>
    </w:rPr>
  </w:style>
  <w:style w:type="character" w:styleId="afffd">
    <w:name w:val="Unresolved Mention"/>
    <w:basedOn w:val="a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A1BE5A-61B9-4290-A89B-763301C0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1508</Words>
  <Characters>8598</Characters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2024-04-12T06:02:00Z</dcterms:created>
  <dcterms:modified xsi:type="dcterms:W3CDTF">2024-04-12T06:02:00Z</dcterms:modified>
</cp:coreProperties>
</file>